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bookmarkStart w:name="KLPZIC00" w:id="1"/>
      <w:bookmarkEnd w:id="1"/>
      <w:r>
        <w:rPr>
          <w:b w:val="0"/>
        </w:rPr>
      </w:r>
      <w:bookmarkStart w:name="Whiston Town Council BY EMAIL " w:id="2"/>
      <w:bookmarkEnd w:id="2"/>
      <w:r>
        <w:rPr>
          <w:b w:val="0"/>
        </w:rPr>
      </w:r>
      <w:bookmarkStart w:name="44" w:id="3"/>
      <w:bookmarkEnd w:id="3"/>
      <w:r>
        <w:rPr>
          <w:b w:val="0"/>
        </w:rPr>
      </w:r>
      <w:r>
        <w:rPr>
          <w:color w:val="2E5395"/>
        </w:rPr>
        <w:t>Section</w:t>
      </w:r>
      <w:r>
        <w:rPr>
          <w:color w:val="2E5395"/>
          <w:spacing w:val="-13"/>
        </w:rPr>
        <w:t> </w:t>
      </w:r>
      <w:r>
        <w:rPr>
          <w:color w:val="2E5395"/>
        </w:rPr>
        <w:t>3</w:t>
      </w:r>
      <w:r>
        <w:rPr>
          <w:color w:val="2E5395"/>
          <w:spacing w:val="-15"/>
        </w:rPr>
        <w:t> </w:t>
      </w:r>
      <w:r>
        <w:rPr>
          <w:color w:val="2E5395"/>
        </w:rPr>
        <w:t>–</w:t>
      </w:r>
      <w:r>
        <w:rPr>
          <w:color w:val="2E5395"/>
          <w:spacing w:val="-17"/>
        </w:rPr>
        <w:t> </w:t>
      </w:r>
      <w:r>
        <w:rPr>
          <w:color w:val="2E5395"/>
        </w:rPr>
        <w:t>External</w:t>
      </w:r>
      <w:r>
        <w:rPr>
          <w:color w:val="2E5395"/>
          <w:spacing w:val="-12"/>
        </w:rPr>
        <w:t> </w:t>
      </w:r>
      <w:r>
        <w:rPr>
          <w:color w:val="2E5395"/>
        </w:rPr>
        <w:t>Auditor’s</w:t>
      </w:r>
      <w:r>
        <w:rPr>
          <w:color w:val="2E5395"/>
          <w:spacing w:val="-18"/>
        </w:rPr>
        <w:t> </w:t>
      </w:r>
      <w:r>
        <w:rPr>
          <w:color w:val="2E5395"/>
        </w:rPr>
        <w:t>Report</w:t>
      </w:r>
      <w:r>
        <w:rPr>
          <w:color w:val="2E5395"/>
          <w:spacing w:val="-14"/>
        </w:rPr>
        <w:t> </w:t>
      </w:r>
      <w:r>
        <w:rPr>
          <w:color w:val="2E5395"/>
        </w:rPr>
        <w:t>and</w:t>
      </w:r>
      <w:r>
        <w:rPr>
          <w:color w:val="2E5395"/>
          <w:spacing w:val="-16"/>
        </w:rPr>
        <w:t> </w:t>
      </w:r>
      <w:r>
        <w:rPr>
          <w:color w:val="2E5395"/>
        </w:rPr>
        <w:t>Certificate</w:t>
      </w:r>
      <w:r>
        <w:rPr>
          <w:color w:val="2E5395"/>
          <w:spacing w:val="-16"/>
        </w:rPr>
        <w:t> </w:t>
      </w:r>
      <w:r>
        <w:rPr>
          <w:color w:val="2E5395"/>
          <w:spacing w:val="-2"/>
        </w:rPr>
        <w:t>2024/25</w:t>
      </w:r>
    </w:p>
    <w:p>
      <w:pPr>
        <w:tabs>
          <w:tab w:pos="3830" w:val="left" w:leader="none"/>
          <w:tab w:pos="9648" w:val="left" w:leader="none"/>
        </w:tabs>
        <w:spacing w:before="119"/>
        <w:ind w:left="120" w:right="0" w:firstLine="0"/>
        <w:jc w:val="left"/>
        <w:rPr>
          <w:rFonts w:ascii="Times New Roman" w:hAnsi="Times New Roman"/>
          <w:position w:val="-3"/>
          <w:sz w:val="2"/>
        </w:rPr>
      </w:pPr>
      <w:r>
        <w:rPr>
          <w:sz w:val="21"/>
        </w:rPr>
        <w:t>In respect of</w:t>
      </w:r>
      <w:r>
        <w:rPr>
          <w:spacing w:val="39"/>
          <w:sz w:val="21"/>
        </w:rPr>
        <w:t> </w:t>
      </w:r>
      <w:r>
        <w:rPr>
          <w:rFonts w:ascii="Arial" w:hAnsi="Arial"/>
          <w:b/>
          <w:color w:val="000000"/>
          <w:sz w:val="19"/>
          <w:shd w:fill="DBE4F0" w:color="auto" w:val="clear"/>
        </w:rPr>
        <w:tab/>
        <w:t>Whiston</w:t>
      </w:r>
      <w:r>
        <w:rPr>
          <w:rFonts w:ascii="Arial" w:hAnsi="Arial"/>
          <w:b/>
          <w:color w:val="000000"/>
          <w:spacing w:val="17"/>
          <w:sz w:val="19"/>
          <w:shd w:fill="DBE4F0" w:color="auto" w:val="clear"/>
        </w:rPr>
        <w:t> </w:t>
      </w:r>
      <w:r>
        <w:rPr>
          <w:rFonts w:ascii="Arial" w:hAnsi="Arial"/>
          <w:b/>
          <w:color w:val="000000"/>
          <w:sz w:val="19"/>
          <w:shd w:fill="DBE4F0" w:color="auto" w:val="clear"/>
        </w:rPr>
        <w:t>Town</w:t>
      </w:r>
      <w:r>
        <w:rPr>
          <w:rFonts w:ascii="Arial" w:hAnsi="Arial"/>
          <w:b/>
          <w:color w:val="000000"/>
          <w:spacing w:val="17"/>
          <w:sz w:val="19"/>
          <w:shd w:fill="DBE4F0" w:color="auto" w:val="clear"/>
        </w:rPr>
        <w:t> </w:t>
      </w:r>
      <w:r>
        <w:rPr>
          <w:rFonts w:ascii="Arial" w:hAnsi="Arial"/>
          <w:b/>
          <w:color w:val="000000"/>
          <w:sz w:val="19"/>
          <w:shd w:fill="DBE4F0" w:color="auto" w:val="clear"/>
        </w:rPr>
        <w:t>Council</w:t>
      </w:r>
      <w:r>
        <w:rPr>
          <w:rFonts w:ascii="Arial" w:hAnsi="Arial"/>
          <w:b/>
          <w:color w:val="000000"/>
          <w:spacing w:val="21"/>
          <w:sz w:val="19"/>
          <w:shd w:fill="DBE4F0" w:color="auto" w:val="clear"/>
        </w:rPr>
        <w:t> </w:t>
      </w:r>
      <w:r>
        <w:rPr>
          <w:rFonts w:ascii="Arial" w:hAnsi="Arial"/>
          <w:b/>
          <w:color w:val="000000"/>
          <w:sz w:val="19"/>
          <w:shd w:fill="DBE4F0" w:color="auto" w:val="clear"/>
        </w:rPr>
        <w:t>–</w:t>
      </w:r>
      <w:r>
        <w:rPr>
          <w:rFonts w:ascii="Arial" w:hAnsi="Arial"/>
          <w:b/>
          <w:color w:val="000000"/>
          <w:spacing w:val="18"/>
          <w:sz w:val="19"/>
          <w:shd w:fill="DBE4F0" w:color="auto" w:val="clear"/>
        </w:rPr>
        <w:t> </w:t>
      </w:r>
      <w:r>
        <w:rPr>
          <w:rFonts w:ascii="Arial" w:hAnsi="Arial"/>
          <w:b/>
          <w:color w:val="000000"/>
          <w:spacing w:val="-2"/>
          <w:sz w:val="19"/>
          <w:shd w:fill="DBE4F0" w:color="auto" w:val="clear"/>
        </w:rPr>
        <w:t>LA0229</w:t>
      </w:r>
      <w:r>
        <w:rPr>
          <w:rFonts w:ascii="Arial" w:hAnsi="Arial"/>
          <w:b/>
          <w:color w:val="000000"/>
          <w:sz w:val="19"/>
          <w:shd w:fill="DBE4F0" w:color="auto" w:val="clear"/>
        </w:rPr>
        <w:tab/>
      </w:r>
      <w:r>
        <w:rPr>
          <w:rFonts w:ascii="Times New Roman" w:hAnsi="Times New Roman"/>
          <w:color w:val="000000"/>
          <w:spacing w:val="-5"/>
          <w:position w:val="-3"/>
          <w:sz w:val="2"/>
        </w:rPr>
        <w:t>ow</w:t>
      </w:r>
    </w:p>
    <w:p>
      <w:pPr>
        <w:pStyle w:val="BodyText"/>
        <w:spacing w:before="15"/>
        <w:rPr>
          <w:rFonts w:ascii="Times New Roman"/>
          <w:sz w:val="19"/>
        </w:rPr>
      </w:pPr>
    </w:p>
    <w:p>
      <w:pPr>
        <w:pStyle w:val="Heading1"/>
        <w:numPr>
          <w:ilvl w:val="0"/>
          <w:numId w:val="1"/>
        </w:numPr>
        <w:tabs>
          <w:tab w:pos="352" w:val="left" w:leader="none"/>
        </w:tabs>
        <w:spacing w:line="240" w:lineRule="auto" w:before="0" w:after="0"/>
        <w:ind w:left="352" w:right="0" w:hanging="232"/>
        <w:jc w:val="left"/>
      </w:pPr>
      <w:r>
        <w:rPr>
          <w:color w:val="2E5395"/>
        </w:rPr>
        <w:t>Respective</w:t>
      </w:r>
      <w:r>
        <w:rPr>
          <w:color w:val="2E5395"/>
          <w:spacing w:val="-14"/>
        </w:rPr>
        <w:t> </w:t>
      </w:r>
      <w:r>
        <w:rPr>
          <w:color w:val="2E5395"/>
        </w:rPr>
        <w:t>responsibilities</w:t>
      </w:r>
      <w:r>
        <w:rPr>
          <w:color w:val="2E5395"/>
          <w:spacing w:val="-14"/>
        </w:rPr>
        <w:t> </w:t>
      </w:r>
      <w:r>
        <w:rPr>
          <w:color w:val="2E5395"/>
        </w:rPr>
        <w:t>of</w:t>
      </w:r>
      <w:r>
        <w:rPr>
          <w:color w:val="2E5395"/>
          <w:spacing w:val="-14"/>
        </w:rPr>
        <w:t> </w:t>
      </w:r>
      <w:r>
        <w:rPr>
          <w:color w:val="2E5395"/>
        </w:rPr>
        <w:t>the</w:t>
      </w:r>
      <w:r>
        <w:rPr>
          <w:color w:val="2E5395"/>
          <w:spacing w:val="-17"/>
        </w:rPr>
        <w:t> </w:t>
      </w:r>
      <w:r>
        <w:rPr>
          <w:color w:val="2E5395"/>
        </w:rPr>
        <w:t>auditor</w:t>
      </w:r>
      <w:r>
        <w:rPr>
          <w:color w:val="2E5395"/>
          <w:spacing w:val="-16"/>
        </w:rPr>
        <w:t> </w:t>
      </w:r>
      <w:r>
        <w:rPr>
          <w:color w:val="2E5395"/>
        </w:rPr>
        <w:t>and</w:t>
      </w:r>
      <w:r>
        <w:rPr>
          <w:color w:val="2E5395"/>
          <w:spacing w:val="-17"/>
        </w:rPr>
        <w:t> </w:t>
      </w:r>
      <w:r>
        <w:rPr>
          <w:color w:val="2E5395"/>
        </w:rPr>
        <w:t>the</w:t>
      </w:r>
      <w:r>
        <w:rPr>
          <w:color w:val="2E5395"/>
          <w:spacing w:val="-16"/>
        </w:rPr>
        <w:t> </w:t>
      </w:r>
      <w:r>
        <w:rPr>
          <w:color w:val="2E5395"/>
          <w:spacing w:val="-2"/>
        </w:rPr>
        <w:t>authority</w:t>
      </w:r>
    </w:p>
    <w:p>
      <w:pPr>
        <w:pStyle w:val="BodyText"/>
        <w:spacing w:line="252" w:lineRule="auto" w:before="9"/>
        <w:ind w:left="101" w:right="94"/>
      </w:pPr>
      <w:r>
        <w:rPr>
          <w:w w:val="105"/>
        </w:rPr>
        <w:t>Our responsibility as auditors</w:t>
      </w:r>
      <w:r>
        <w:rPr>
          <w:spacing w:val="-1"/>
          <w:w w:val="105"/>
        </w:rPr>
        <w:t> </w:t>
      </w:r>
      <w:r>
        <w:rPr>
          <w:w w:val="105"/>
        </w:rPr>
        <w:t>to complete a </w:t>
      </w:r>
      <w:r>
        <w:rPr>
          <w:rFonts w:ascii="Arial"/>
          <w:b/>
          <w:w w:val="105"/>
        </w:rPr>
        <w:t>limited assurance review </w:t>
      </w:r>
      <w:r>
        <w:rPr>
          <w:w w:val="105"/>
        </w:rPr>
        <w:t>is set out by the National Audit Office (NAO). A limited assurance review</w:t>
      </w:r>
      <w:r>
        <w:rPr>
          <w:spacing w:val="-1"/>
          <w:w w:val="105"/>
        </w:rPr>
        <w:t> </w:t>
      </w:r>
      <w:r>
        <w:rPr>
          <w:w w:val="105"/>
        </w:rPr>
        <w:t>is </w:t>
      </w:r>
      <w:r>
        <w:rPr>
          <w:rFonts w:ascii="Arial"/>
          <w:b/>
          <w:w w:val="105"/>
        </w:rPr>
        <w:t>not a full statutory audit</w:t>
      </w:r>
      <w:r>
        <w:rPr>
          <w:w w:val="105"/>
        </w:rPr>
        <w:t>, it does not constitute an audit carried out in accordance with International</w:t>
      </w:r>
      <w:r>
        <w:rPr>
          <w:spacing w:val="-5"/>
          <w:w w:val="105"/>
        </w:rPr>
        <w:t> </w:t>
      </w:r>
      <w:r>
        <w:rPr>
          <w:w w:val="105"/>
        </w:rPr>
        <w:t>Standards</w:t>
      </w:r>
      <w:r>
        <w:rPr>
          <w:spacing w:val="-6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Auditing</w:t>
      </w:r>
      <w:r>
        <w:rPr>
          <w:spacing w:val="-6"/>
          <w:w w:val="105"/>
        </w:rPr>
        <w:t> </w:t>
      </w:r>
      <w:r>
        <w:rPr>
          <w:w w:val="105"/>
        </w:rPr>
        <w:t>(UK</w:t>
      </w:r>
      <w:r>
        <w:rPr>
          <w:spacing w:val="-6"/>
          <w:w w:val="105"/>
        </w:rPr>
        <w:t> </w:t>
      </w:r>
      <w:r>
        <w:rPr>
          <w:w w:val="105"/>
        </w:rPr>
        <w:t>&amp;</w:t>
      </w:r>
      <w:r>
        <w:rPr>
          <w:spacing w:val="-5"/>
          <w:w w:val="105"/>
        </w:rPr>
        <w:t> </w:t>
      </w:r>
      <w:r>
        <w:rPr>
          <w:w w:val="105"/>
        </w:rPr>
        <w:t>Ireland)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hence</w:t>
      </w:r>
      <w:r>
        <w:rPr>
          <w:spacing w:val="-6"/>
          <w:w w:val="105"/>
        </w:rPr>
        <w:t> </w:t>
      </w:r>
      <w:r>
        <w:rPr>
          <w:w w:val="105"/>
        </w:rPr>
        <w:t>it</w:t>
      </w:r>
      <w:r>
        <w:rPr>
          <w:spacing w:val="-2"/>
          <w:w w:val="105"/>
        </w:rPr>
        <w:t> </w:t>
      </w:r>
      <w:r>
        <w:rPr>
          <w:rFonts w:ascii="Arial"/>
          <w:b/>
          <w:w w:val="105"/>
        </w:rPr>
        <w:t>does</w:t>
      </w:r>
      <w:r>
        <w:rPr>
          <w:rFonts w:ascii="Arial"/>
          <w:b/>
          <w:spacing w:val="-6"/>
          <w:w w:val="105"/>
        </w:rPr>
        <w:t> </w:t>
      </w:r>
      <w:r>
        <w:rPr>
          <w:rFonts w:ascii="Arial"/>
          <w:b/>
          <w:w w:val="105"/>
        </w:rPr>
        <w:t>not</w:t>
      </w:r>
      <w:r>
        <w:rPr>
          <w:rFonts w:ascii="Arial"/>
          <w:b/>
          <w:spacing w:val="-7"/>
          <w:w w:val="105"/>
        </w:rPr>
        <w:t> </w:t>
      </w:r>
      <w:r>
        <w:rPr>
          <w:w w:val="105"/>
        </w:rPr>
        <w:t>provide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same</w:t>
      </w:r>
      <w:r>
        <w:rPr>
          <w:spacing w:val="-6"/>
          <w:w w:val="105"/>
        </w:rPr>
        <w:t> </w:t>
      </w:r>
      <w:r>
        <w:rPr>
          <w:w w:val="105"/>
        </w:rPr>
        <w:t>level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assurance</w:t>
      </w:r>
      <w:r>
        <w:rPr>
          <w:spacing w:val="-6"/>
          <w:w w:val="105"/>
        </w:rPr>
        <w:t> </w:t>
      </w:r>
      <w:r>
        <w:rPr>
          <w:w w:val="105"/>
        </w:rPr>
        <w:t>that</w:t>
      </w:r>
      <w:r>
        <w:rPr>
          <w:spacing w:val="-8"/>
          <w:w w:val="105"/>
        </w:rPr>
        <w:t> </w:t>
      </w:r>
      <w:r>
        <w:rPr>
          <w:w w:val="105"/>
        </w:rPr>
        <w:t>such</w:t>
      </w:r>
      <w:r>
        <w:rPr>
          <w:spacing w:val="-6"/>
          <w:w w:val="105"/>
        </w:rPr>
        <w:t> </w:t>
      </w:r>
      <w:r>
        <w:rPr>
          <w:w w:val="105"/>
        </w:rPr>
        <w:t>an audit</w:t>
      </w:r>
      <w:r>
        <w:rPr>
          <w:spacing w:val="-4"/>
          <w:w w:val="105"/>
        </w:rPr>
        <w:t> </w:t>
      </w:r>
      <w:r>
        <w:rPr>
          <w:w w:val="105"/>
        </w:rPr>
        <w:t>would.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UK</w:t>
      </w:r>
      <w:r>
        <w:rPr>
          <w:spacing w:val="-4"/>
          <w:w w:val="105"/>
        </w:rPr>
        <w:t> </w:t>
      </w:r>
      <w:r>
        <w:rPr>
          <w:w w:val="105"/>
        </w:rPr>
        <w:t>Government</w:t>
      </w:r>
      <w:r>
        <w:rPr>
          <w:spacing w:val="-4"/>
          <w:w w:val="105"/>
        </w:rPr>
        <w:t> </w:t>
      </w:r>
      <w:r>
        <w:rPr>
          <w:w w:val="105"/>
        </w:rPr>
        <w:t>has</w:t>
      </w:r>
      <w:r>
        <w:rPr>
          <w:spacing w:val="-3"/>
          <w:w w:val="105"/>
        </w:rPr>
        <w:t> </w:t>
      </w:r>
      <w:r>
        <w:rPr>
          <w:w w:val="105"/>
        </w:rPr>
        <w:t>determined</w:t>
      </w:r>
      <w:r>
        <w:rPr>
          <w:spacing w:val="-4"/>
          <w:w w:val="105"/>
        </w:rPr>
        <w:t> </w:t>
      </w:r>
      <w:r>
        <w:rPr>
          <w:w w:val="105"/>
        </w:rPr>
        <w:t>that</w:t>
      </w:r>
      <w:r>
        <w:rPr>
          <w:spacing w:val="-4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lower</w:t>
      </w:r>
      <w:r>
        <w:rPr>
          <w:spacing w:val="-4"/>
          <w:w w:val="105"/>
        </w:rPr>
        <w:t> </w:t>
      </w:r>
      <w:r>
        <w:rPr>
          <w:w w:val="105"/>
        </w:rPr>
        <w:t>level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4"/>
          <w:w w:val="105"/>
        </w:rPr>
        <w:t> </w:t>
      </w:r>
      <w:r>
        <w:rPr>
          <w:w w:val="105"/>
        </w:rPr>
        <w:t>assurance</w:t>
      </w:r>
      <w:r>
        <w:rPr>
          <w:spacing w:val="-4"/>
          <w:w w:val="105"/>
        </w:rPr>
        <w:t> </w:t>
      </w:r>
      <w:r>
        <w:rPr>
          <w:w w:val="105"/>
        </w:rPr>
        <w:t>than</w:t>
      </w:r>
      <w:r>
        <w:rPr>
          <w:spacing w:val="-7"/>
          <w:w w:val="105"/>
        </w:rPr>
        <w:t> </w:t>
      </w:r>
      <w:r>
        <w:rPr>
          <w:w w:val="105"/>
        </w:rPr>
        <w:t>that</w:t>
      </w:r>
      <w:r>
        <w:rPr>
          <w:spacing w:val="-4"/>
          <w:w w:val="105"/>
        </w:rPr>
        <w:t> </w:t>
      </w:r>
      <w:r>
        <w:rPr>
          <w:w w:val="105"/>
        </w:rPr>
        <w:t>provided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4"/>
          <w:w w:val="105"/>
        </w:rPr>
        <w:t> </w:t>
      </w:r>
      <w:r>
        <w:rPr>
          <w:w w:val="105"/>
        </w:rPr>
        <w:t>full</w:t>
      </w:r>
      <w:r>
        <w:rPr>
          <w:spacing w:val="-6"/>
          <w:w w:val="105"/>
        </w:rPr>
        <w:t> </w:t>
      </w:r>
      <w:r>
        <w:rPr>
          <w:w w:val="105"/>
        </w:rPr>
        <w:t>statutory</w:t>
      </w:r>
      <w:r>
        <w:rPr>
          <w:spacing w:val="-4"/>
          <w:w w:val="105"/>
        </w:rPr>
        <w:t> </w:t>
      </w:r>
      <w:r>
        <w:rPr>
          <w:w w:val="105"/>
        </w:rPr>
        <w:t>audit is appropriate for those local public bodies with the lowest levels of spending.</w:t>
      </w:r>
    </w:p>
    <w:p>
      <w:pPr>
        <w:pStyle w:val="BodyText"/>
        <w:spacing w:line="252" w:lineRule="auto" w:before="93"/>
        <w:ind w:left="101" w:right="259"/>
      </w:pPr>
      <w:r>
        <w:rPr>
          <w:w w:val="105"/>
        </w:rPr>
        <w:t>Under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limited</w:t>
      </w:r>
      <w:r>
        <w:rPr>
          <w:spacing w:val="-6"/>
          <w:w w:val="105"/>
        </w:rPr>
        <w:t> </w:t>
      </w:r>
      <w:r>
        <w:rPr>
          <w:w w:val="105"/>
        </w:rPr>
        <w:t>assurance</w:t>
      </w:r>
      <w:r>
        <w:rPr>
          <w:spacing w:val="-6"/>
          <w:w w:val="105"/>
        </w:rPr>
        <w:t> </w:t>
      </w:r>
      <w:r>
        <w:rPr>
          <w:w w:val="105"/>
        </w:rPr>
        <w:t>review,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auditor</w:t>
      </w:r>
      <w:r>
        <w:rPr>
          <w:spacing w:val="-6"/>
          <w:w w:val="105"/>
        </w:rPr>
        <w:t> </w:t>
      </w:r>
      <w:r>
        <w:rPr>
          <w:w w:val="105"/>
        </w:rPr>
        <w:t>is</w:t>
      </w:r>
      <w:r>
        <w:rPr>
          <w:spacing w:val="-5"/>
          <w:w w:val="105"/>
        </w:rPr>
        <w:t> </w:t>
      </w:r>
      <w:r>
        <w:rPr>
          <w:w w:val="105"/>
        </w:rPr>
        <w:t>responsible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reviewing</w:t>
      </w:r>
      <w:r>
        <w:rPr>
          <w:spacing w:val="-6"/>
          <w:w w:val="105"/>
        </w:rPr>
        <w:t> </w:t>
      </w:r>
      <w:r>
        <w:rPr>
          <w:w w:val="105"/>
        </w:rPr>
        <w:t>Sections</w:t>
      </w:r>
      <w:r>
        <w:rPr>
          <w:spacing w:val="-5"/>
          <w:w w:val="105"/>
        </w:rPr>
        <w:t> </w:t>
      </w:r>
      <w:r>
        <w:rPr>
          <w:w w:val="105"/>
        </w:rPr>
        <w:t>1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2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Annual</w:t>
      </w:r>
      <w:r>
        <w:rPr>
          <w:spacing w:val="-6"/>
          <w:w w:val="105"/>
        </w:rPr>
        <w:t> </w:t>
      </w:r>
      <w:r>
        <w:rPr>
          <w:w w:val="105"/>
        </w:rPr>
        <w:t>Governance</w:t>
      </w:r>
      <w:r>
        <w:rPr>
          <w:spacing w:val="-6"/>
          <w:w w:val="105"/>
        </w:rPr>
        <w:t> </w:t>
      </w:r>
      <w:r>
        <w:rPr>
          <w:w w:val="105"/>
        </w:rPr>
        <w:t>and Accountability</w:t>
      </w:r>
      <w:r>
        <w:rPr>
          <w:spacing w:val="-4"/>
          <w:w w:val="105"/>
        </w:rPr>
        <w:t> </w:t>
      </w:r>
      <w:r>
        <w:rPr>
          <w:w w:val="105"/>
        </w:rPr>
        <w:t>Return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accordance</w:t>
      </w:r>
      <w:r>
        <w:rPr>
          <w:spacing w:val="-5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NAO</w:t>
      </w:r>
      <w:r>
        <w:rPr>
          <w:spacing w:val="-6"/>
          <w:w w:val="105"/>
        </w:rPr>
        <w:t> </w:t>
      </w:r>
      <w:r>
        <w:rPr>
          <w:w w:val="105"/>
        </w:rPr>
        <w:t>Auditor</w:t>
      </w:r>
      <w:r>
        <w:rPr>
          <w:spacing w:val="-5"/>
          <w:w w:val="105"/>
        </w:rPr>
        <w:t> </w:t>
      </w:r>
      <w:r>
        <w:rPr>
          <w:w w:val="105"/>
        </w:rPr>
        <w:t>Guidance</w:t>
      </w:r>
      <w:r>
        <w:rPr>
          <w:spacing w:val="-5"/>
          <w:w w:val="105"/>
        </w:rPr>
        <w:t> </w:t>
      </w:r>
      <w:r>
        <w:rPr>
          <w:w w:val="105"/>
        </w:rPr>
        <w:t>Note</w:t>
      </w:r>
      <w:r>
        <w:rPr>
          <w:spacing w:val="-5"/>
          <w:w w:val="105"/>
        </w:rPr>
        <w:t> </w:t>
      </w:r>
      <w:r>
        <w:rPr>
          <w:w w:val="105"/>
        </w:rPr>
        <w:t>02</w:t>
      </w:r>
      <w:r>
        <w:rPr>
          <w:spacing w:val="-5"/>
          <w:w w:val="105"/>
        </w:rPr>
        <w:t> </w:t>
      </w:r>
      <w:r>
        <w:rPr>
          <w:w w:val="105"/>
        </w:rPr>
        <w:t>(AGN</w:t>
      </w:r>
      <w:r>
        <w:rPr>
          <w:spacing w:val="-5"/>
          <w:w w:val="105"/>
        </w:rPr>
        <w:t> </w:t>
      </w:r>
      <w:r>
        <w:rPr>
          <w:w w:val="105"/>
        </w:rPr>
        <w:t>02)</w:t>
      </w:r>
      <w:r>
        <w:rPr>
          <w:spacing w:val="-5"/>
          <w:w w:val="105"/>
        </w:rPr>
        <w:t> </w:t>
      </w:r>
      <w:r>
        <w:rPr>
          <w:w w:val="105"/>
        </w:rPr>
        <w:t>as</w:t>
      </w:r>
      <w:r>
        <w:rPr>
          <w:spacing w:val="-4"/>
          <w:w w:val="105"/>
        </w:rPr>
        <w:t> </w:t>
      </w:r>
      <w:r>
        <w:rPr>
          <w:w w:val="105"/>
        </w:rPr>
        <w:t>issued</w:t>
      </w:r>
      <w:r>
        <w:rPr>
          <w:spacing w:val="-5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NAO</w:t>
      </w:r>
      <w:r>
        <w:rPr>
          <w:spacing w:val="-6"/>
          <w:w w:val="105"/>
        </w:rPr>
        <w:t> </w:t>
      </w:r>
      <w:r>
        <w:rPr>
          <w:w w:val="105"/>
        </w:rPr>
        <w:t>on</w:t>
      </w:r>
      <w:r>
        <w:rPr>
          <w:spacing w:val="-5"/>
          <w:w w:val="105"/>
        </w:rPr>
        <w:t> </w:t>
      </w:r>
      <w:r>
        <w:rPr>
          <w:w w:val="105"/>
        </w:rPr>
        <w:t>behalf</w:t>
      </w:r>
      <w:r>
        <w:rPr>
          <w:spacing w:val="-7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the Comptroller and Auditor General. AGN 02 is available from the NAO website – </w:t>
      </w:r>
      <w:r>
        <w:rPr>
          <w:color w:val="0462C1"/>
          <w:w w:val="105"/>
          <w:u w:val="single" w:color="0462C1"/>
        </w:rPr>
        <w:t>https</w:t>
      </w:r>
      <w:hyperlink r:id="rId6">
        <w:r>
          <w:rPr>
            <w:color w:val="0462C1"/>
            <w:w w:val="105"/>
            <w:u w:val="single" w:color="0462C1"/>
          </w:rPr>
          <w:t>://www.nao.org.uk/code-audit-</w:t>
        </w:r>
      </w:hyperlink>
      <w:r>
        <w:rPr>
          <w:color w:val="0462C1"/>
          <w:w w:val="105"/>
        </w:rPr>
        <w:t> </w:t>
      </w:r>
      <w:r>
        <w:rPr>
          <w:color w:val="0462C1"/>
          <w:spacing w:val="-2"/>
          <w:w w:val="105"/>
          <w:u w:val="single" w:color="0462C1"/>
        </w:rPr>
        <w:t>practice/guidance-and-information-for-auditors/</w:t>
      </w:r>
    </w:p>
    <w:p>
      <w:pPr>
        <w:pStyle w:val="BodyText"/>
        <w:spacing w:line="252" w:lineRule="auto" w:before="96"/>
        <w:ind w:left="101"/>
      </w:pPr>
      <w:r>
        <w:rPr>
          <w:w w:val="105"/>
        </w:rPr>
        <w:t>This</w:t>
      </w:r>
      <w:r>
        <w:rPr>
          <w:spacing w:val="-5"/>
          <w:w w:val="105"/>
        </w:rPr>
        <w:t> </w:t>
      </w:r>
      <w:r>
        <w:rPr>
          <w:w w:val="105"/>
        </w:rPr>
        <w:t>authority</w:t>
      </w:r>
      <w:r>
        <w:rPr>
          <w:spacing w:val="-5"/>
          <w:w w:val="105"/>
        </w:rPr>
        <w:t> </w:t>
      </w:r>
      <w:r>
        <w:rPr>
          <w:w w:val="105"/>
        </w:rPr>
        <w:t>is</w:t>
      </w:r>
      <w:r>
        <w:rPr>
          <w:spacing w:val="-5"/>
          <w:w w:val="105"/>
        </w:rPr>
        <w:t> </w:t>
      </w:r>
      <w:r>
        <w:rPr>
          <w:w w:val="105"/>
        </w:rPr>
        <w:t>responsible</w:t>
      </w:r>
      <w:r>
        <w:rPr>
          <w:spacing w:val="-9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ensuring</w:t>
      </w:r>
      <w:r>
        <w:rPr>
          <w:spacing w:val="-6"/>
          <w:w w:val="105"/>
        </w:rPr>
        <w:t> </w:t>
      </w:r>
      <w:r>
        <w:rPr>
          <w:w w:val="105"/>
        </w:rPr>
        <w:t>that</w:t>
      </w:r>
      <w:r>
        <w:rPr>
          <w:spacing w:val="-6"/>
          <w:w w:val="105"/>
        </w:rPr>
        <w:t> </w:t>
      </w:r>
      <w:r>
        <w:rPr>
          <w:w w:val="105"/>
        </w:rPr>
        <w:t>its</w:t>
      </w:r>
      <w:r>
        <w:rPr>
          <w:spacing w:val="-5"/>
          <w:w w:val="105"/>
        </w:rPr>
        <w:t> </w:t>
      </w:r>
      <w:r>
        <w:rPr>
          <w:w w:val="105"/>
        </w:rPr>
        <w:t>financial</w:t>
      </w:r>
      <w:r>
        <w:rPr>
          <w:spacing w:val="-8"/>
          <w:w w:val="105"/>
        </w:rPr>
        <w:t> </w:t>
      </w:r>
      <w:r>
        <w:rPr>
          <w:w w:val="105"/>
        </w:rPr>
        <w:t>management</w:t>
      </w:r>
      <w:r>
        <w:rPr>
          <w:spacing w:val="-6"/>
          <w:w w:val="105"/>
        </w:rPr>
        <w:t> </w:t>
      </w:r>
      <w:r>
        <w:rPr>
          <w:w w:val="105"/>
        </w:rPr>
        <w:t>is</w:t>
      </w:r>
      <w:r>
        <w:rPr>
          <w:spacing w:val="-5"/>
          <w:w w:val="105"/>
        </w:rPr>
        <w:t> </w:t>
      </w:r>
      <w:r>
        <w:rPr>
          <w:w w:val="105"/>
        </w:rPr>
        <w:t>adequate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effective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that</w:t>
      </w:r>
      <w:r>
        <w:rPr>
          <w:spacing w:val="-6"/>
          <w:w w:val="105"/>
        </w:rPr>
        <w:t> </w:t>
      </w:r>
      <w:r>
        <w:rPr>
          <w:w w:val="105"/>
        </w:rPr>
        <w:t>it</w:t>
      </w:r>
      <w:r>
        <w:rPr>
          <w:spacing w:val="-6"/>
          <w:w w:val="105"/>
        </w:rPr>
        <w:t> </w:t>
      </w:r>
      <w:r>
        <w:rPr>
          <w:w w:val="105"/>
        </w:rPr>
        <w:t>has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sound system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internal</w:t>
      </w:r>
      <w:r>
        <w:rPr>
          <w:spacing w:val="-1"/>
          <w:w w:val="105"/>
        </w:rPr>
        <w:t> </w:t>
      </w:r>
      <w:r>
        <w:rPr>
          <w:w w:val="105"/>
        </w:rPr>
        <w:t>control.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authority prepares an</w:t>
      </w:r>
      <w:r>
        <w:rPr>
          <w:spacing w:val="-1"/>
          <w:w w:val="105"/>
        </w:rPr>
        <w:t> </w:t>
      </w:r>
      <w:r>
        <w:rPr>
          <w:w w:val="105"/>
        </w:rPr>
        <w:t>Annual</w:t>
      </w:r>
      <w:r>
        <w:rPr>
          <w:spacing w:val="-1"/>
          <w:w w:val="105"/>
        </w:rPr>
        <w:t> </w:t>
      </w:r>
      <w:r>
        <w:rPr>
          <w:w w:val="105"/>
        </w:rPr>
        <w:t>Governance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Accountability Return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accordance</w:t>
      </w:r>
      <w:r>
        <w:rPr>
          <w:spacing w:val="-1"/>
          <w:w w:val="105"/>
        </w:rPr>
        <w:t> </w:t>
      </w:r>
      <w:r>
        <w:rPr>
          <w:w w:val="105"/>
        </w:rPr>
        <w:t>with </w:t>
      </w:r>
      <w:r>
        <w:rPr>
          <w:rFonts w:ascii="Arial"/>
          <w:i/>
          <w:w w:val="105"/>
        </w:rPr>
        <w:t>Proper Practices </w:t>
      </w:r>
      <w:r>
        <w:rPr>
          <w:w w:val="105"/>
        </w:rPr>
        <w:t>which:</w:t>
      </w:r>
    </w:p>
    <w:p>
      <w:pPr>
        <w:pStyle w:val="ListParagraph"/>
        <w:numPr>
          <w:ilvl w:val="1"/>
          <w:numId w:val="1"/>
        </w:numPr>
        <w:tabs>
          <w:tab w:pos="218" w:val="left" w:leader="none"/>
        </w:tabs>
        <w:spacing w:line="240" w:lineRule="auto" w:before="97" w:after="0"/>
        <w:ind w:left="218" w:right="0" w:hanging="117"/>
        <w:jc w:val="left"/>
        <w:rPr>
          <w:sz w:val="18"/>
        </w:rPr>
      </w:pPr>
      <w:r>
        <w:rPr>
          <w:w w:val="105"/>
          <w:sz w:val="18"/>
        </w:rPr>
        <w:t>summarises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accounting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records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ended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31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March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2025;</w:t>
      </w:r>
      <w:r>
        <w:rPr>
          <w:spacing w:val="-7"/>
          <w:w w:val="105"/>
          <w:sz w:val="18"/>
        </w:rPr>
        <w:t> </w:t>
      </w:r>
      <w:r>
        <w:rPr>
          <w:spacing w:val="-5"/>
          <w:w w:val="105"/>
          <w:sz w:val="18"/>
        </w:rPr>
        <w:t>and</w:t>
      </w:r>
    </w:p>
    <w:p>
      <w:pPr>
        <w:pStyle w:val="ListParagraph"/>
        <w:numPr>
          <w:ilvl w:val="1"/>
          <w:numId w:val="1"/>
        </w:numPr>
        <w:tabs>
          <w:tab w:pos="218" w:val="left" w:leader="none"/>
        </w:tabs>
        <w:spacing w:line="240" w:lineRule="auto" w:before="9" w:after="0"/>
        <w:ind w:left="218" w:right="0" w:hanging="117"/>
        <w:jc w:val="left"/>
        <w:rPr>
          <w:sz w:val="18"/>
        </w:rPr>
      </w:pPr>
      <w:r>
        <w:rPr>
          <w:w w:val="105"/>
          <w:sz w:val="18"/>
        </w:rPr>
        <w:t>confirms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provides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assurance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those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matters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are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relevant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our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duties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responsibilities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external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auditors.</w:t>
      </w:r>
    </w:p>
    <w:p>
      <w:pPr>
        <w:pStyle w:val="Heading1"/>
        <w:numPr>
          <w:ilvl w:val="0"/>
          <w:numId w:val="1"/>
        </w:numPr>
        <w:tabs>
          <w:tab w:pos="333" w:val="left" w:leader="none"/>
        </w:tabs>
        <w:spacing w:line="240" w:lineRule="auto" w:before="100" w:after="0"/>
        <w:ind w:left="333" w:right="0" w:hanging="232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509088</wp:posOffset>
                </wp:positionH>
                <wp:positionV relativeFrom="paragraph">
                  <wp:posOffset>274319</wp:posOffset>
                </wp:positionV>
                <wp:extent cx="6600825" cy="469519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6600825" cy="4695190"/>
                          <a:chExt cx="6600825" cy="469519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4717" y="4716"/>
                            <a:ext cx="6591300" cy="4686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1300" h="4686300">
                                <a:moveTo>
                                  <a:pt x="0" y="2538393"/>
                                </a:moveTo>
                                <a:lnTo>
                                  <a:pt x="6579018" y="2538393"/>
                                </a:lnTo>
                                <a:lnTo>
                                  <a:pt x="65790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38393"/>
                                </a:lnTo>
                                <a:close/>
                              </a:path>
                              <a:path w="6591300" h="4686300">
                                <a:moveTo>
                                  <a:pt x="0" y="4685742"/>
                                </a:moveTo>
                                <a:lnTo>
                                  <a:pt x="6590939" y="4685742"/>
                                </a:lnTo>
                                <a:lnTo>
                                  <a:pt x="6590939" y="2571987"/>
                                </a:lnTo>
                                <a:lnTo>
                                  <a:pt x="0" y="2571987"/>
                                </a:lnTo>
                                <a:lnTo>
                                  <a:pt x="0" y="4685742"/>
                                </a:lnTo>
                                <a:close/>
                              </a:path>
                            </a:pathLst>
                          </a:custGeom>
                          <a:ln w="94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9434" y="2564624"/>
                            <a:ext cx="6576059" cy="2121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3"/>
                                <w:ind w:left="11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matters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affecting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our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opinion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which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we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draw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attention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authority:</w:t>
                              </w:r>
                            </w:p>
                            <w:p>
                              <w:pPr>
                                <w:spacing w:line="240" w:lineRule="auto" w:before="167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1" w:right="0" w:firstLine="0"/>
                                <w:jc w:val="left"/>
                                <w:rPr>
                                  <w:rFonts w:ascii="Calibri"/>
                                  <w:sz w:val="18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18"/>
                                </w:rPr>
                                <w:t>None.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9433" y="9433"/>
                            <a:ext cx="6576059" cy="2546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6" w:lineRule="auto" w:before="29"/>
                                <w:ind w:left="11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basis of our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review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Sections 1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Annual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Governance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Accountability Return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(AGAR), in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our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opinion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information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 Sections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1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2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AGAR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is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accordance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Proper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Practices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matters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have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come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our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attention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giving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cause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concern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sz w:val="16"/>
                                </w:rPr>
                                <w:t>that relevant legislation and regulatory requirements have not been met.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085743pt;margin-top:21.599955pt;width:519.75pt;height:369.7pt;mso-position-horizontal-relative:page;mso-position-vertical-relative:paragraph;z-index:15729152" id="docshapegroup3" coordorigin="802,432" coordsize="10395,7394">
                <v:shape style="position:absolute;left:809;top:439;width:10380;height:7380" id="docshape4" coordorigin="809,439" coordsize="10380,7380" path="m809,4437l11170,4437,11170,439,809,439,809,4437xm809,7819l11189,7819,11189,4490,809,4490,809,7819xe" filled="false" stroked="true" strokeweight=".742065pt" strokecolor="#000000">
                  <v:path arrowok="t"/>
                  <v:stroke dashstyle="solid"/>
                </v:shape>
                <v:shape style="position:absolute;left:816;top:4470;width:10356;height:3341" type="#_x0000_t202" id="docshape5" filled="false" stroked="false">
                  <v:textbox inset="0,0,0,0">
                    <w:txbxContent>
                      <w:p>
                        <w:pPr>
                          <w:spacing w:before="33"/>
                          <w:ind w:left="11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Other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matters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not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affecting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our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opinion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which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we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draw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attention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pacing w:val="-2"/>
                            <w:sz w:val="16"/>
                          </w:rPr>
                          <w:t>authority:</w:t>
                        </w:r>
                      </w:p>
                      <w:p>
                        <w:pPr>
                          <w:spacing w:line="240" w:lineRule="auto" w:before="167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1"/>
                          <w:ind w:left="11" w:right="0" w:firstLine="0"/>
                          <w:jc w:val="left"/>
                          <w:rPr>
                            <w:rFonts w:ascii="Calibri"/>
                            <w:sz w:val="18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18"/>
                          </w:rPr>
                          <w:t>None.</w:t>
                        </w:r>
                      </w:p>
                    </w:txbxContent>
                  </v:textbox>
                  <w10:wrap type="none"/>
                </v:shape>
                <v:shape style="position:absolute;left:816;top:446;width:10356;height:4010" type="#_x0000_t202" id="docshape6" filled="false" stroked="false">
                  <v:textbox inset="0,0,0,0">
                    <w:txbxContent>
                      <w:p>
                        <w:pPr>
                          <w:spacing w:line="206" w:lineRule="auto" w:before="29"/>
                          <w:ind w:left="11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On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basis of our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review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Sections 1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and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2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Annual</w:t>
                        </w:r>
                        <w:r>
                          <w:rPr>
                            <w:spacing w:val="-3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Governance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and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Accountability Return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(AGAR), in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our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opinion</w:t>
                        </w:r>
                        <w:r>
                          <w:rPr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information</w:t>
                        </w:r>
                        <w:r>
                          <w:rPr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 Sections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1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and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2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AGAR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is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accordance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with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Proper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Practices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and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no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other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matters</w:t>
                        </w:r>
                        <w:r>
                          <w:rPr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have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come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to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our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attention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giving</w:t>
                        </w:r>
                        <w:r>
                          <w:rPr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cause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for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concern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sz w:val="16"/>
                          </w:rPr>
                          <w:t>that relevant legislation and regulatory requirements have not been met.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E5395"/>
        </w:rPr>
        <w:t>External</w:t>
      </w:r>
      <w:r>
        <w:rPr>
          <w:color w:val="2E5395"/>
          <w:spacing w:val="-20"/>
        </w:rPr>
        <w:t> </w:t>
      </w:r>
      <w:r>
        <w:rPr>
          <w:color w:val="2E5395"/>
        </w:rPr>
        <w:t>auditor’s</w:t>
      </w:r>
      <w:r>
        <w:rPr>
          <w:color w:val="2E5395"/>
          <w:spacing w:val="-19"/>
        </w:rPr>
        <w:t> </w:t>
      </w:r>
      <w:r>
        <w:rPr>
          <w:color w:val="2E5395"/>
        </w:rPr>
        <w:t>limited</w:t>
      </w:r>
      <w:r>
        <w:rPr>
          <w:color w:val="2E5395"/>
          <w:spacing w:val="-19"/>
        </w:rPr>
        <w:t> </w:t>
      </w:r>
      <w:r>
        <w:rPr>
          <w:color w:val="2E5395"/>
        </w:rPr>
        <w:t>assurance</w:t>
      </w:r>
      <w:r>
        <w:rPr>
          <w:color w:val="2E5395"/>
          <w:spacing w:val="-20"/>
        </w:rPr>
        <w:t> </w:t>
      </w:r>
      <w:r>
        <w:rPr>
          <w:color w:val="2E5395"/>
        </w:rPr>
        <w:t>opinion</w:t>
      </w:r>
      <w:r>
        <w:rPr>
          <w:color w:val="2E5395"/>
          <w:spacing w:val="-18"/>
        </w:rPr>
        <w:t> </w:t>
      </w:r>
      <w:r>
        <w:rPr>
          <w:color w:val="2E5395"/>
          <w:spacing w:val="-2"/>
        </w:rPr>
        <w:t>2024/25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0"/>
        <w:rPr>
          <w:sz w:val="28"/>
        </w:rPr>
      </w:pPr>
    </w:p>
    <w:p>
      <w:pPr>
        <w:pStyle w:val="ListParagraph"/>
        <w:numPr>
          <w:ilvl w:val="0"/>
          <w:numId w:val="1"/>
        </w:numPr>
        <w:tabs>
          <w:tab w:pos="333" w:val="left" w:leader="none"/>
        </w:tabs>
        <w:spacing w:line="240" w:lineRule="auto" w:before="0" w:after="0"/>
        <w:ind w:left="333" w:right="0" w:hanging="232"/>
        <w:jc w:val="left"/>
        <w:rPr>
          <w:sz w:val="28"/>
        </w:rPr>
      </w:pPr>
      <w:r>
        <w:rPr>
          <w:color w:val="2E5395"/>
          <w:sz w:val="28"/>
        </w:rPr>
        <w:t>External</w:t>
      </w:r>
      <w:r>
        <w:rPr>
          <w:color w:val="2E5395"/>
          <w:spacing w:val="-19"/>
          <w:sz w:val="28"/>
        </w:rPr>
        <w:t> </w:t>
      </w:r>
      <w:r>
        <w:rPr>
          <w:color w:val="2E5395"/>
          <w:sz w:val="28"/>
        </w:rPr>
        <w:t>auditor</w:t>
      </w:r>
      <w:r>
        <w:rPr>
          <w:color w:val="2E5395"/>
          <w:spacing w:val="-20"/>
          <w:sz w:val="28"/>
        </w:rPr>
        <w:t> </w:t>
      </w:r>
      <w:r>
        <w:rPr>
          <w:color w:val="2E5395"/>
          <w:sz w:val="28"/>
        </w:rPr>
        <w:t>certificate</w:t>
      </w:r>
      <w:r>
        <w:rPr>
          <w:color w:val="2E5395"/>
          <w:spacing w:val="-18"/>
          <w:sz w:val="28"/>
        </w:rPr>
        <w:t> </w:t>
      </w:r>
      <w:r>
        <w:rPr>
          <w:color w:val="2E5395"/>
          <w:spacing w:val="-2"/>
          <w:sz w:val="28"/>
        </w:rPr>
        <w:t>2024/25</w:t>
      </w:r>
    </w:p>
    <w:p>
      <w:pPr>
        <w:spacing w:line="249" w:lineRule="auto" w:before="7"/>
        <w:ind w:left="101" w:right="0" w:firstLine="0"/>
        <w:jc w:val="left"/>
        <w:rPr>
          <w:sz w:val="19"/>
        </w:rPr>
      </w:pPr>
      <w:r>
        <w:rPr>
          <w:w w:val="105"/>
          <w:sz w:val="19"/>
        </w:rPr>
        <w:t>We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certify that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we have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completed our review of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Sections 1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and 2</w:t>
      </w:r>
      <w:r>
        <w:rPr>
          <w:spacing w:val="-1"/>
          <w:w w:val="105"/>
          <w:sz w:val="19"/>
        </w:rPr>
        <w:t> </w:t>
      </w:r>
      <w:r>
        <w:rPr>
          <w:w w:val="105"/>
          <w:sz w:val="19"/>
        </w:rPr>
        <w:t>of the Annual Governance and Accountability Return,</w:t>
      </w:r>
      <w:r>
        <w:rPr>
          <w:spacing w:val="-8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8"/>
          <w:w w:val="105"/>
          <w:sz w:val="19"/>
        </w:rPr>
        <w:t> </w:t>
      </w:r>
      <w:r>
        <w:rPr>
          <w:w w:val="105"/>
          <w:sz w:val="19"/>
        </w:rPr>
        <w:t>discharged</w:t>
      </w:r>
      <w:r>
        <w:rPr>
          <w:spacing w:val="-8"/>
          <w:w w:val="105"/>
          <w:sz w:val="19"/>
        </w:rPr>
        <w:t> </w:t>
      </w:r>
      <w:r>
        <w:rPr>
          <w:w w:val="105"/>
          <w:sz w:val="19"/>
        </w:rPr>
        <w:t>our</w:t>
      </w:r>
      <w:r>
        <w:rPr>
          <w:spacing w:val="-7"/>
          <w:w w:val="105"/>
          <w:sz w:val="19"/>
        </w:rPr>
        <w:t> </w:t>
      </w:r>
      <w:r>
        <w:rPr>
          <w:w w:val="105"/>
          <w:sz w:val="19"/>
        </w:rPr>
        <w:t>responsibilities</w:t>
      </w:r>
      <w:r>
        <w:rPr>
          <w:spacing w:val="-9"/>
          <w:w w:val="105"/>
          <w:sz w:val="19"/>
        </w:rPr>
        <w:t> </w:t>
      </w:r>
      <w:r>
        <w:rPr>
          <w:w w:val="105"/>
          <w:sz w:val="19"/>
        </w:rPr>
        <w:t>under</w:t>
      </w:r>
      <w:r>
        <w:rPr>
          <w:spacing w:val="-10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8"/>
          <w:w w:val="105"/>
          <w:sz w:val="19"/>
        </w:rPr>
        <w:t> </w:t>
      </w:r>
      <w:r>
        <w:rPr>
          <w:w w:val="105"/>
          <w:sz w:val="19"/>
        </w:rPr>
        <w:t>Local</w:t>
      </w:r>
      <w:r>
        <w:rPr>
          <w:spacing w:val="-9"/>
          <w:w w:val="105"/>
          <w:sz w:val="19"/>
        </w:rPr>
        <w:t> </w:t>
      </w:r>
      <w:r>
        <w:rPr>
          <w:w w:val="105"/>
          <w:sz w:val="19"/>
        </w:rPr>
        <w:t>Audit</w:t>
      </w:r>
      <w:r>
        <w:rPr>
          <w:spacing w:val="-10"/>
          <w:w w:val="105"/>
          <w:sz w:val="19"/>
        </w:rPr>
        <w:t> </w:t>
      </w:r>
      <w:r>
        <w:rPr>
          <w:w w:val="105"/>
          <w:sz w:val="19"/>
        </w:rPr>
        <w:t>and</w:t>
      </w:r>
      <w:r>
        <w:rPr>
          <w:spacing w:val="-8"/>
          <w:w w:val="105"/>
          <w:sz w:val="19"/>
        </w:rPr>
        <w:t> </w:t>
      </w:r>
      <w:r>
        <w:rPr>
          <w:w w:val="105"/>
          <w:sz w:val="19"/>
        </w:rPr>
        <w:t>Accountability</w:t>
      </w:r>
      <w:r>
        <w:rPr>
          <w:spacing w:val="-9"/>
          <w:w w:val="105"/>
          <w:sz w:val="19"/>
        </w:rPr>
        <w:t> </w:t>
      </w:r>
      <w:r>
        <w:rPr>
          <w:w w:val="105"/>
          <w:sz w:val="19"/>
        </w:rPr>
        <w:t>Act</w:t>
      </w:r>
      <w:r>
        <w:rPr>
          <w:spacing w:val="-10"/>
          <w:w w:val="105"/>
          <w:sz w:val="19"/>
        </w:rPr>
        <w:t> </w:t>
      </w:r>
      <w:r>
        <w:rPr>
          <w:w w:val="105"/>
          <w:sz w:val="19"/>
        </w:rPr>
        <w:t>2014, for</w:t>
      </w:r>
      <w:r>
        <w:rPr>
          <w:spacing w:val="-10"/>
          <w:w w:val="105"/>
          <w:sz w:val="19"/>
        </w:rPr>
        <w:t> </w:t>
      </w:r>
      <w:r>
        <w:rPr>
          <w:w w:val="105"/>
          <w:sz w:val="19"/>
        </w:rPr>
        <w:t>the</w:t>
      </w:r>
      <w:r>
        <w:rPr>
          <w:spacing w:val="-10"/>
          <w:w w:val="105"/>
          <w:sz w:val="19"/>
        </w:rPr>
        <w:t> </w:t>
      </w:r>
      <w:r>
        <w:rPr>
          <w:w w:val="105"/>
          <w:sz w:val="19"/>
        </w:rPr>
        <w:t>year</w:t>
      </w:r>
      <w:r>
        <w:rPr>
          <w:spacing w:val="-9"/>
          <w:w w:val="105"/>
          <w:sz w:val="19"/>
        </w:rPr>
        <w:t> </w:t>
      </w:r>
      <w:r>
        <w:rPr>
          <w:w w:val="105"/>
          <w:sz w:val="19"/>
        </w:rPr>
        <w:t>ended</w:t>
      </w:r>
      <w:r>
        <w:rPr>
          <w:spacing w:val="-8"/>
          <w:w w:val="105"/>
          <w:sz w:val="19"/>
        </w:rPr>
        <w:t> </w:t>
      </w:r>
      <w:r>
        <w:rPr>
          <w:w w:val="105"/>
          <w:sz w:val="19"/>
        </w:rPr>
        <w:t>31 March 2025.</w:t>
      </w:r>
    </w:p>
    <w:p>
      <w:pPr>
        <w:spacing w:before="19"/>
        <w:ind w:left="136" w:right="0" w:firstLine="0"/>
        <w:jc w:val="lef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1" simplePos="0" relativeHeight="487534592">
            <wp:simplePos x="0" y="0"/>
            <wp:positionH relativeFrom="page">
              <wp:posOffset>2161792</wp:posOffset>
            </wp:positionH>
            <wp:positionV relativeFrom="paragraph">
              <wp:posOffset>484913</wp:posOffset>
            </wp:positionV>
            <wp:extent cx="2821228" cy="301335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1228" cy="301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5351596</wp:posOffset>
                </wp:positionH>
                <wp:positionV relativeFrom="paragraph">
                  <wp:posOffset>498853</wp:posOffset>
                </wp:positionV>
                <wp:extent cx="1753235" cy="27241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1753235" cy="272415"/>
                        </a:xfrm>
                        <a:prstGeom prst="rect">
                          <a:avLst/>
                        </a:prstGeom>
                        <a:solidFill>
                          <a:srgbClr val="B8CDE4"/>
                        </a:solidFill>
                      </wps:spPr>
                      <wps:txbx>
                        <w:txbxContent>
                          <w:p>
                            <w:pPr>
                              <w:spacing w:before="69"/>
                              <w:ind w:left="861" w:right="0" w:firstLine="0"/>
                              <w:jc w:val="left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28/08/2025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1.385529pt;margin-top:39.279839pt;width:138.050pt;height:21.45pt;mso-position-horizontal-relative:page;mso-position-vertical-relative:paragraph;z-index:15730176" type="#_x0000_t202" id="docshape7" filled="true" fillcolor="#b8cde4" stroked="false">
                <v:textbox inset="0,0,0,0">
                  <w:txbxContent>
                    <w:p>
                      <w:pPr>
                        <w:spacing w:before="69"/>
                        <w:ind w:left="861" w:right="0" w:firstLine="0"/>
                        <w:jc w:val="left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pacing w:val="-2"/>
                          <w:sz w:val="21"/>
                        </w:rPr>
                        <w:t>28/08/2025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spacing w:val="-2"/>
          <w:sz w:val="16"/>
        </w:rPr>
        <w:t>External</w:t>
      </w:r>
      <w:r>
        <w:rPr>
          <w:spacing w:val="3"/>
          <w:sz w:val="16"/>
        </w:rPr>
        <w:t> </w:t>
      </w:r>
      <w:r>
        <w:rPr>
          <w:spacing w:val="-2"/>
          <w:sz w:val="16"/>
        </w:rPr>
        <w:t>Auditor</w:t>
      </w:r>
      <w:r>
        <w:rPr>
          <w:spacing w:val="3"/>
          <w:sz w:val="16"/>
        </w:rPr>
        <w:t> </w:t>
      </w:r>
      <w:r>
        <w:rPr>
          <w:spacing w:val="-4"/>
          <w:sz w:val="16"/>
        </w:rPr>
        <w:t>Name</w:t>
      </w:r>
    </w:p>
    <w:p>
      <w:pPr>
        <w:pStyle w:val="BodyText"/>
        <w:spacing w:before="6"/>
        <w:rPr>
          <w:sz w:val="3"/>
        </w:rPr>
      </w:pPr>
      <w:r>
        <w:rPr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521360</wp:posOffset>
                </wp:positionH>
                <wp:positionV relativeFrom="paragraph">
                  <wp:posOffset>41320</wp:posOffset>
                </wp:positionV>
                <wp:extent cx="6581140" cy="272415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6581140" cy="272415"/>
                        </a:xfrm>
                        <a:prstGeom prst="rect">
                          <a:avLst/>
                        </a:prstGeom>
                        <a:solidFill>
                          <a:srgbClr val="B8CDE4"/>
                        </a:solidFill>
                      </wps:spPr>
                      <wps:txbx>
                        <w:txbxContent>
                          <w:p>
                            <w:pPr>
                              <w:spacing w:before="71"/>
                              <w:ind w:left="4" w:right="0" w:firstLine="0"/>
                              <w:jc w:val="center"/>
                              <w:rPr>
                                <w:rFonts w:ascii="Arial"/>
                                <w:b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PKF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  <w:sz w:val="21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1"/>
                              </w:rPr>
                              <w:t>LITTLEJOHN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3"/>
                                <w:sz w:val="21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5"/>
                                <w:sz w:val="21"/>
                              </w:rPr>
                              <w:t>LLP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.052029pt;margin-top:3.253564pt;width:518.2pt;height:21.45pt;mso-position-horizontal-relative:page;mso-position-vertical-relative:paragraph;z-index:-15728640;mso-wrap-distance-left:0;mso-wrap-distance-right:0" type="#_x0000_t202" id="docshape8" filled="true" fillcolor="#b8cde4" stroked="false">
                <v:textbox inset="0,0,0,0">
                  <w:txbxContent>
                    <w:p>
                      <w:pPr>
                        <w:spacing w:before="71"/>
                        <w:ind w:left="4" w:right="0" w:firstLine="0"/>
                        <w:jc w:val="center"/>
                        <w:rPr>
                          <w:rFonts w:ascii="Arial"/>
                          <w:b/>
                          <w:color w:val="000000"/>
                          <w:sz w:val="21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21"/>
                        </w:rPr>
                        <w:t>PKF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  <w:sz w:val="21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21"/>
                        </w:rPr>
                        <w:t>LITTLEJOHN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3"/>
                          <w:sz w:val="21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5"/>
                          <w:sz w:val="21"/>
                        </w:rPr>
                        <w:t>LLP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tabs>
          <w:tab w:pos="7153" w:val="left" w:leader="none"/>
        </w:tabs>
        <w:spacing w:before="143"/>
        <w:ind w:left="113" w:right="0" w:firstLine="0"/>
        <w:jc w:val="left"/>
        <w:rPr>
          <w:sz w:val="16"/>
        </w:rPr>
      </w:pPr>
      <w:r>
        <w:rPr>
          <w:spacing w:val="-2"/>
          <w:position w:val="1"/>
          <w:sz w:val="16"/>
        </w:rPr>
        <w:t>External</w:t>
      </w:r>
      <w:r>
        <w:rPr>
          <w:spacing w:val="3"/>
          <w:position w:val="1"/>
          <w:sz w:val="16"/>
        </w:rPr>
        <w:t> </w:t>
      </w:r>
      <w:r>
        <w:rPr>
          <w:spacing w:val="-2"/>
          <w:position w:val="1"/>
          <w:sz w:val="16"/>
        </w:rPr>
        <w:t>Auditor</w:t>
      </w:r>
      <w:r>
        <w:rPr>
          <w:spacing w:val="1"/>
          <w:position w:val="1"/>
          <w:sz w:val="16"/>
        </w:rPr>
        <w:t> </w:t>
      </w:r>
      <w:r>
        <w:rPr>
          <w:spacing w:val="-2"/>
          <w:position w:val="1"/>
          <w:sz w:val="16"/>
        </w:rPr>
        <w:t>Signature</w:t>
      </w:r>
      <w:r>
        <w:rPr>
          <w:position w:val="1"/>
          <w:sz w:val="16"/>
        </w:rPr>
        <w:tab/>
      </w:r>
      <w:r>
        <w:rPr>
          <w:spacing w:val="-4"/>
          <w:sz w:val="16"/>
        </w:rPr>
        <w:t>Date</w:t>
      </w:r>
    </w:p>
    <w:sectPr>
      <w:footerReference w:type="default" r:id="rId5"/>
      <w:type w:val="continuous"/>
      <w:pgSz w:w="11910" w:h="16840"/>
      <w:pgMar w:header="0" w:footer="974" w:top="700" w:bottom="1160" w:left="708" w:right="708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3568">
              <wp:simplePos x="0" y="0"/>
              <wp:positionH relativeFrom="page">
                <wp:posOffset>503139</wp:posOffset>
              </wp:positionH>
              <wp:positionV relativeFrom="page">
                <wp:posOffset>9900289</wp:posOffset>
              </wp:positionV>
              <wp:extent cx="6288405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28840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88405" h="0">
                            <a:moveTo>
                              <a:pt x="0" y="0"/>
                            </a:moveTo>
                            <a:lnTo>
                              <a:pt x="6287872" y="0"/>
                            </a:lnTo>
                          </a:path>
                        </a:pathLst>
                      </a:custGeom>
                      <a:ln w="9436">
                        <a:solidFill>
                          <a:srgbClr val="375F92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82912" from="39.617245pt,779.550354pt" to="534.725293pt,779.550354pt" stroked="true" strokeweight=".743024pt" strokecolor="#375f92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4080">
              <wp:simplePos x="0" y="0"/>
              <wp:positionH relativeFrom="page">
                <wp:posOffset>501105</wp:posOffset>
              </wp:positionH>
              <wp:positionV relativeFrom="page">
                <wp:posOffset>9888917</wp:posOffset>
              </wp:positionV>
              <wp:extent cx="3608070" cy="28384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608070" cy="283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Annual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Governance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and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Accountability Return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2024/25 Form </w:t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</w:p>
                        <w:p>
                          <w:pPr>
                            <w:pStyle w:val="BodyText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Local Councils,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Internal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Drainage Boards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and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other Smaller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Authorities*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9.457165pt;margin-top:778.654907pt;width:284.1pt;height:22.35pt;mso-position-horizontal-relative:page;mso-position-vertical-relative:page;z-index:-1578240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>
                        <w:spacing w:val="-2"/>
                      </w:rPr>
                      <w:t>Annual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>
                        <w:spacing w:val="-2"/>
                      </w:rPr>
                      <w:t>Governance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2"/>
                      </w:rPr>
                      <w:t>and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Accountability Return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2"/>
                      </w:rPr>
                      <w:t>2024/25 Form </w:t>
                    </w:r>
                    <w:r>
                      <w:rPr>
                        <w:spacing w:val="-10"/>
                      </w:rPr>
                      <w:t>3</w:t>
                    </w:r>
                  </w:p>
                  <w:p>
                    <w:pPr>
                      <w:pStyle w:val="BodyText"/>
                      <w:ind w:left="20"/>
                    </w:pPr>
                    <w:r>
                      <w:rPr>
                        <w:spacing w:val="-2"/>
                      </w:rPr>
                      <w:t>Local Councils,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2"/>
                      </w:rPr>
                      <w:t>Internal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Drainage Boards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2"/>
                      </w:rPr>
                      <w:t>and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other Smaller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Authorities*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4592">
              <wp:simplePos x="0" y="0"/>
              <wp:positionH relativeFrom="page">
                <wp:posOffset>6151092</wp:posOffset>
              </wp:positionH>
              <wp:positionV relativeFrom="page">
                <wp:posOffset>9888917</wp:posOffset>
              </wp:positionV>
              <wp:extent cx="604520" cy="1524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0452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rPr/>
                            <w:t>Page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6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of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4.338013pt;margin-top:778.654907pt;width:47.6pt;height:12pt;mso-position-horizontal-relative:page;mso-position-vertical-relative:page;z-index:-15781888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2"/>
                      <w:ind w:left="20"/>
                    </w:pPr>
                    <w:r>
                      <w:rPr/>
                      <w:t>Page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6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of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10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52" w:hanging="233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E5395"/>
        <w:spacing w:val="0"/>
        <w:w w:val="99"/>
        <w:sz w:val="28"/>
        <w:szCs w:val="2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9" w:hanging="119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4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85" w:hanging="11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11" w:hanging="11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36" w:hanging="11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2" w:hanging="11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87" w:hanging="11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13" w:hanging="11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38" w:hanging="11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3" w:hanging="232"/>
      <w:outlineLvl w:val="1"/>
    </w:pPr>
    <w:rPr>
      <w:rFonts w:ascii="Arial MT" w:hAnsi="Arial MT" w:eastAsia="Arial MT" w:cs="Arial MT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8"/>
      <w:ind w:left="10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18" w:hanging="232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nao.org.uk/code-audit-" TargetMode="External"/><Relationship Id="rId7" Type="http://schemas.openxmlformats.org/officeDocument/2006/relationships/image" Target="media/image1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2025-09-09T09:38:33Z</dcterms:created>
  <dcterms:modified xsi:type="dcterms:W3CDTF">2025-09-09T09:38:33Z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Producer">
    <vt:lpwstr>PDFlib+PDI 9.1.1p3 (C++/Win64)</vt:lpwstr>
  </property>
  <property fmtid="{D5CDD505-2E9C-101B-9397-08002B2CF9AE}" pid="4" name="LastSaved">
    <vt:filetime>2025-08-29T00:00:00Z</vt:filetime>
  </property>
</Properties>
</file>